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5B" w:rsidRPr="002F4255" w:rsidRDefault="000432D3" w:rsidP="00774C5B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 Armenian" w:hAnsi="Arial Armenian" w:cs="Calibri"/>
          <w:b/>
          <w:i/>
          <w:sz w:val="28"/>
          <w:szCs w:val="28"/>
          <w:lang w:val="en-US"/>
        </w:rPr>
      </w:pPr>
      <w:r>
        <w:rPr>
          <w:rFonts w:cs="Calibri"/>
          <w:b/>
          <w:bCs/>
          <w:i/>
          <w:sz w:val="28"/>
          <w:szCs w:val="28"/>
          <w:lang w:val="en-US"/>
        </w:rPr>
        <w:t xml:space="preserve"> </w:t>
      </w:r>
      <w:r w:rsidR="00774C5B" w:rsidRPr="002F4255">
        <w:rPr>
          <w:rFonts w:cs="Calibri"/>
          <w:b/>
          <w:bCs/>
          <w:i/>
          <w:sz w:val="28"/>
          <w:szCs w:val="28"/>
          <w:lang w:val="en-US"/>
        </w:rPr>
        <w:t>ՀԻՄՆԱՎՈՐՈՒՄ</w:t>
      </w:r>
      <w:r w:rsidR="00774C5B" w:rsidRPr="002F4255">
        <w:rPr>
          <w:rFonts w:ascii="Arial Armenian" w:hAnsi="Arial Armenian" w:cs="Calibri"/>
          <w:b/>
          <w:i/>
          <w:sz w:val="28"/>
          <w:szCs w:val="28"/>
          <w:lang w:val="en-US"/>
        </w:rPr>
        <w:br/>
      </w:r>
      <w:r w:rsidR="00956C43" w:rsidRPr="002F4255">
        <w:rPr>
          <w:rFonts w:cs="Calibri"/>
          <w:b/>
          <w:bCs/>
          <w:i/>
          <w:sz w:val="28"/>
          <w:szCs w:val="28"/>
        </w:rPr>
        <w:t>ՆՈՅԵՄԲԵՐՅԱՆ</w:t>
      </w:r>
      <w:r w:rsidR="00956C43" w:rsidRPr="002F4255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="00956C43" w:rsidRPr="002F4255">
        <w:rPr>
          <w:rFonts w:cs="Calibri"/>
          <w:b/>
          <w:bCs/>
          <w:i/>
          <w:sz w:val="28"/>
          <w:szCs w:val="28"/>
          <w:lang w:val="en-US"/>
        </w:rPr>
        <w:t>ՀԱՄԱՅՆՔԻ</w:t>
      </w:r>
      <w:r w:rsidR="00956C43" w:rsidRPr="002F4255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202</w:t>
      </w:r>
      <w:r w:rsidR="00954FAB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>6</w:t>
      </w:r>
      <w:r w:rsidR="00B1321A" w:rsidRPr="002F4255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>-202</w:t>
      </w:r>
      <w:r w:rsidR="00954FAB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>8</w:t>
      </w:r>
      <w:r w:rsidR="002F4255" w:rsidRPr="002F4255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="00B1321A" w:rsidRPr="002F4255">
        <w:rPr>
          <w:rFonts w:cs="Calibri"/>
          <w:b/>
          <w:bCs/>
          <w:i/>
          <w:sz w:val="28"/>
          <w:szCs w:val="28"/>
          <w:lang w:val="en-US"/>
        </w:rPr>
        <w:t>ԹԹ</w:t>
      </w:r>
      <w:r w:rsidR="00B1321A" w:rsidRPr="002F4255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. </w:t>
      </w:r>
      <w:r w:rsidR="00B1321A" w:rsidRPr="002F4255">
        <w:rPr>
          <w:rFonts w:cs="Calibri"/>
          <w:b/>
          <w:bCs/>
          <w:i/>
          <w:sz w:val="28"/>
          <w:szCs w:val="28"/>
          <w:lang w:val="en-US"/>
        </w:rPr>
        <w:t>ՄԻՋՆԱԺԱՄԿԵՏ</w:t>
      </w:r>
      <w:r w:rsidR="00B1321A" w:rsidRPr="002F4255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="00B1321A" w:rsidRPr="002F4255">
        <w:rPr>
          <w:rFonts w:cs="Calibri"/>
          <w:b/>
          <w:bCs/>
          <w:i/>
          <w:sz w:val="28"/>
          <w:szCs w:val="28"/>
          <w:lang w:val="en-US"/>
        </w:rPr>
        <w:t>ԲՅՈՒՋԵՆ</w:t>
      </w:r>
      <w:r w:rsidR="00774C5B" w:rsidRPr="002F4255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="00774C5B" w:rsidRPr="002F4255">
        <w:rPr>
          <w:rFonts w:cs="Calibri"/>
          <w:b/>
          <w:bCs/>
          <w:i/>
          <w:sz w:val="28"/>
          <w:szCs w:val="28"/>
          <w:lang w:val="en-US"/>
        </w:rPr>
        <w:t>ՀԱՍՏԱՏԵԼՈՒ</w:t>
      </w:r>
      <w:r w:rsidR="00774C5B" w:rsidRPr="002F4255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="00774C5B" w:rsidRPr="002F4255">
        <w:rPr>
          <w:rFonts w:cs="Calibri"/>
          <w:b/>
          <w:bCs/>
          <w:i/>
          <w:sz w:val="28"/>
          <w:szCs w:val="28"/>
          <w:lang w:val="en-US"/>
        </w:rPr>
        <w:t>ՄԱՍԻՆ</w:t>
      </w:r>
      <w:r w:rsidR="00774C5B" w:rsidRPr="002F4255">
        <w:rPr>
          <w:rFonts w:ascii="Arial Armenian" w:hAnsi="Arial Armenian" w:cs="Calibri"/>
          <w:b/>
          <w:i/>
          <w:sz w:val="28"/>
          <w:szCs w:val="28"/>
          <w:lang w:val="en-US"/>
        </w:rPr>
        <w:t> </w:t>
      </w:r>
      <w:r w:rsidR="00774C5B" w:rsidRPr="002F4255">
        <w:rPr>
          <w:rFonts w:cs="Calibri"/>
          <w:b/>
          <w:bCs/>
          <w:i/>
          <w:sz w:val="28"/>
          <w:szCs w:val="28"/>
          <w:lang w:val="en-US"/>
        </w:rPr>
        <w:t>ԱՎԱԳԱՆՈՒ</w:t>
      </w:r>
      <w:r w:rsidR="00774C5B" w:rsidRPr="002F4255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="00774C5B" w:rsidRPr="002F4255">
        <w:rPr>
          <w:rFonts w:cs="Calibri"/>
          <w:b/>
          <w:bCs/>
          <w:i/>
          <w:sz w:val="28"/>
          <w:szCs w:val="28"/>
          <w:lang w:val="en-US"/>
        </w:rPr>
        <w:t>ՈՐՈՇՄԱՆ</w:t>
      </w:r>
      <w:r w:rsidR="00774C5B" w:rsidRPr="002F4255">
        <w:rPr>
          <w:rFonts w:ascii="Arial Armenian" w:hAnsi="Arial Armenian"/>
          <w:b/>
          <w:bCs/>
          <w:i/>
          <w:sz w:val="28"/>
          <w:szCs w:val="28"/>
          <w:lang w:val="en-US"/>
        </w:rPr>
        <w:t> </w:t>
      </w:r>
      <w:r w:rsidR="00774C5B" w:rsidRPr="002F4255">
        <w:rPr>
          <w:rFonts w:cs="Calibri"/>
          <w:b/>
          <w:bCs/>
          <w:i/>
          <w:sz w:val="28"/>
          <w:szCs w:val="28"/>
          <w:lang w:val="en-US"/>
        </w:rPr>
        <w:t>ՆԱԽԱԳԾԻ</w:t>
      </w:r>
      <w:r w:rsidR="00774C5B" w:rsidRPr="002F4255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="00774C5B" w:rsidRPr="002F4255">
        <w:rPr>
          <w:rFonts w:cs="Calibri"/>
          <w:b/>
          <w:bCs/>
          <w:i/>
          <w:sz w:val="28"/>
          <w:szCs w:val="28"/>
          <w:lang w:val="en-US"/>
        </w:rPr>
        <w:t>ԸՆԴՈՒՆՄԱՆ</w:t>
      </w:r>
    </w:p>
    <w:p w:rsidR="00B1321A" w:rsidRDefault="00956C43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Armenian" w:hAnsi="Arial Armenian" w:cs="Calibri"/>
          <w:sz w:val="28"/>
          <w:szCs w:val="28"/>
          <w:lang w:val="en-US"/>
        </w:rPr>
      </w:pP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Նոյեմբերյան</w:t>
      </w:r>
      <w:proofErr w:type="spellEnd"/>
      <w:r w:rsidR="007920B6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="003C358A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954FAB">
        <w:rPr>
          <w:rFonts w:ascii="Arial Unicode" w:hAnsi="Arial Unicode" w:cs="Calibri"/>
          <w:sz w:val="28"/>
          <w:szCs w:val="28"/>
          <w:lang w:val="en-US"/>
        </w:rPr>
        <w:t>6</w:t>
      </w:r>
      <w:r w:rsidR="00447848">
        <w:rPr>
          <w:rFonts w:ascii="Arial Unicode" w:hAnsi="Arial Unicode" w:cs="Calibri"/>
          <w:sz w:val="28"/>
          <w:szCs w:val="28"/>
          <w:lang w:val="en-US"/>
        </w:rPr>
        <w:t>-202</w:t>
      </w:r>
      <w:r w:rsidR="00954FAB">
        <w:rPr>
          <w:rFonts w:ascii="Arial Unicode" w:hAnsi="Arial Unicode" w:cs="Calibri"/>
          <w:sz w:val="28"/>
          <w:szCs w:val="28"/>
          <w:lang w:val="en-US"/>
        </w:rPr>
        <w:t>8</w:t>
      </w:r>
      <w:r w:rsidR="00B1321A">
        <w:rPr>
          <w:rFonts w:ascii="Arial Unicode" w:hAnsi="Arial Unicode" w:cs="Calibri"/>
          <w:sz w:val="28"/>
          <w:szCs w:val="28"/>
          <w:lang w:val="en-US"/>
        </w:rPr>
        <w:t>թթ.</w:t>
      </w:r>
      <w:r w:rsidR="00C3584D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r w:rsidR="00C3584D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հաստատման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որոշման</w:t>
      </w:r>
      <w:proofErr w:type="spellEnd"/>
      <w:r w:rsidR="00C3584D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  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նախագիծը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մշակվել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է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հիմք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ընդունելով</w:t>
      </w:r>
      <w:proofErr w:type="spellEnd"/>
      <w:r w:rsidR="00E70D3A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E70D3A" w:rsidRPr="00683A30">
        <w:rPr>
          <w:rFonts w:ascii="Arial Unicode" w:hAnsi="Arial Unicode" w:cs="Calibri"/>
          <w:sz w:val="28"/>
          <w:szCs w:val="28"/>
          <w:lang w:val="en-US"/>
        </w:rPr>
        <w:t>Նոյեմբերյան</w:t>
      </w:r>
      <w:proofErr w:type="spellEnd"/>
      <w:r w:rsidR="00E70D3A" w:rsidRPr="00683A30">
        <w:rPr>
          <w:rFonts w:ascii="Arial Unicode" w:hAnsi="Arial Unicode" w:cs="Calibri"/>
          <w:sz w:val="28"/>
          <w:szCs w:val="28"/>
          <w:lang w:val="en-US"/>
        </w:rPr>
        <w:t xml:space="preserve">  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20</w:t>
      </w:r>
      <w:r w:rsidR="008278D4">
        <w:rPr>
          <w:rFonts w:ascii="Arial Unicode" w:hAnsi="Arial Unicode" w:cs="Calibri"/>
          <w:sz w:val="28"/>
          <w:szCs w:val="28"/>
          <w:lang w:val="en-US"/>
        </w:rPr>
        <w:t>2</w:t>
      </w:r>
      <w:r w:rsidR="00954FAB">
        <w:rPr>
          <w:rFonts w:ascii="Arial Unicode" w:hAnsi="Arial Unicode" w:cs="Calibri"/>
          <w:sz w:val="28"/>
          <w:szCs w:val="28"/>
          <w:lang w:val="en-US"/>
        </w:rPr>
        <w:t>6</w:t>
      </w:r>
      <w:r w:rsidR="008278D4">
        <w:rPr>
          <w:rFonts w:ascii="Arial Unicode" w:hAnsi="Arial Unicode" w:cs="Calibri"/>
          <w:sz w:val="28"/>
          <w:szCs w:val="28"/>
          <w:lang w:val="en-US"/>
        </w:rPr>
        <w:t>-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2</w:t>
      </w:r>
      <w:r w:rsidR="00954FAB">
        <w:rPr>
          <w:rFonts w:ascii="Arial Unicode" w:hAnsi="Arial Unicode" w:cs="Calibri"/>
          <w:sz w:val="28"/>
          <w:szCs w:val="28"/>
          <w:lang w:val="en-US"/>
        </w:rPr>
        <w:t>028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թվականների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զարգացման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ծրագիրը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առաջնորդվելով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«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Տեղական</w:t>
      </w:r>
      <w:proofErr w:type="spellEnd"/>
      <w:r w:rsidR="008278D4">
        <w:rPr>
          <w:rFonts w:ascii="Arial Unicode" w:hAnsi="Arial Unicode" w:cs="Calibri"/>
          <w:sz w:val="28"/>
          <w:szCs w:val="28"/>
          <w:lang w:val="en-US"/>
        </w:rPr>
        <w:t xml:space="preserve">   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ինքնակառավարման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մասին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»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օրենքի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18-րդ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հոդվածի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1-ին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մասի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5-րդ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կետի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«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Հայաստանի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Հանրապետության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բյուջետային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համակարգի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մասին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» 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օրենքի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32-րդ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հոդվածի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, 33-րդ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հոդվածի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3-րդ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մասի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պահանջների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համապատասխան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որի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ձևավորման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հիմքում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ընկած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խնայողականությունը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,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հաշվեկշռվածությունը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,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արդյունավետությունը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հստակությունը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: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     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br/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կառուցվածքը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տեղական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ինքնակառավարման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մարմինների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կողմից</w:t>
      </w:r>
      <w:proofErr w:type="spellEnd"/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իրականացվող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լիազորությունների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դրանց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համապատասխանության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ապահովման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անհրաժեշտությունից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ելնելով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բաժանվում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է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վարչական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ֆոնդային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մասերի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: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>վարչական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պլանավորումն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իրականացվել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է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համեմատական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մեթոդով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որի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ժամանակ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հիմնվել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ենք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վերջին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40C86" w:rsidRPr="00683A30">
        <w:rPr>
          <w:rFonts w:ascii="Arial Unicode" w:hAnsi="Arial Unicode" w:cs="Calibri"/>
          <w:sz w:val="28"/>
          <w:szCs w:val="28"/>
          <w:lang w:val="en-US"/>
        </w:rPr>
        <w:t>ե</w:t>
      </w:r>
      <w:r w:rsidR="00954FAB">
        <w:rPr>
          <w:rFonts w:ascii="Arial Unicode" w:hAnsi="Arial Unicode" w:cs="Calibri"/>
          <w:sz w:val="28"/>
          <w:szCs w:val="28"/>
          <w:lang w:val="en-US"/>
        </w:rPr>
        <w:t>րեք</w:t>
      </w:r>
      <w:proofErr w:type="spellEnd"/>
      <w:r w:rsidR="00C40C86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40C86" w:rsidRPr="00683A30">
        <w:rPr>
          <w:rFonts w:ascii="Arial Unicode" w:hAnsi="Arial Unicode" w:cs="Calibri"/>
          <w:sz w:val="28"/>
          <w:szCs w:val="28"/>
          <w:lang w:val="en-US"/>
        </w:rPr>
        <w:t>տարվա</w:t>
      </w:r>
      <w:proofErr w:type="spellEnd"/>
      <w:r w:rsidR="00C40C86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>խոշորացված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>Նոյեմբերյան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փաստացի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համայնքային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մուտքագրված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եկամուտների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հոսքի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և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առկա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բազաների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հիման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վրա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: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պլանավորված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է 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նպաստելու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համար</w:t>
      </w:r>
      <w:proofErr w:type="spellEnd"/>
      <w:r w:rsidR="00C3584D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համաչափ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կայուն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զարգացմանը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բարեկարգ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հարմարավետ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մատչելի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միջավայրի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ձևավորման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շարունակականության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ապահովմանը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համայնքային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ոչ</w:t>
      </w:r>
      <w:proofErr w:type="spellEnd"/>
      <w:r w:rsidR="00C3584D" w:rsidRPr="00145CF2">
        <w:rPr>
          <w:rFonts w:ascii="Arial Armenian" w:hAnsi="Arial Armenian" w:cs="Calibri"/>
          <w:sz w:val="28"/>
          <w:szCs w:val="28"/>
          <w:lang w:val="en-US"/>
        </w:rPr>
        <w:t xml:space="preserve"> </w:t>
      </w:r>
      <w:proofErr w:type="spellStart"/>
      <w:r w:rsidR="00774C5B" w:rsidRPr="00145CF2">
        <w:rPr>
          <w:rFonts w:ascii="GHEA Grapalat" w:hAnsi="GHEA Grapalat" w:cs="Calibri"/>
          <w:sz w:val="28"/>
          <w:szCs w:val="28"/>
          <w:lang w:val="en-US"/>
        </w:rPr>
        <w:t>առևտրային</w:t>
      </w:r>
      <w:proofErr w:type="spellEnd"/>
      <w:r w:rsidR="00C3584D" w:rsidRPr="00145CF2">
        <w:rPr>
          <w:rFonts w:ascii="Arial Armenian" w:hAnsi="Arial Armenian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կազմակերպությունների</w:t>
      </w:r>
      <w:proofErr w:type="spellEnd"/>
      <w:r w:rsidR="001E1A9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արդիականացմանը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բնակչության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կենսական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շահերի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ապահովմանը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։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</w:p>
    <w:p w:rsidR="009267A8" w:rsidRDefault="00774C5B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  <w:r w:rsidRPr="00683A30">
        <w:rPr>
          <w:rFonts w:ascii="Arial Armenian" w:hAnsi="Arial Armenian" w:cs="Calibri"/>
          <w:sz w:val="28"/>
          <w:szCs w:val="28"/>
          <w:lang w:val="en-US"/>
        </w:rPr>
        <w:t>       </w:t>
      </w:r>
      <w:proofErr w:type="spellStart"/>
      <w:r w:rsidR="00956C43" w:rsidRPr="00683A30">
        <w:rPr>
          <w:rFonts w:ascii="Arial Unicode" w:hAnsi="Arial Unicode" w:cs="Calibri"/>
          <w:sz w:val="28"/>
          <w:szCs w:val="28"/>
          <w:lang w:val="en-US"/>
        </w:rPr>
        <w:t>Նոյեմբերյան</w:t>
      </w:r>
      <w:proofErr w:type="spellEnd"/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համ</w:t>
      </w:r>
      <w:r w:rsidR="00E70D3A" w:rsidRPr="00683A30">
        <w:rPr>
          <w:rFonts w:ascii="Arial Unicode" w:hAnsi="Arial Unicode" w:cs="Calibri"/>
          <w:sz w:val="28"/>
          <w:szCs w:val="28"/>
          <w:lang w:val="en-US"/>
        </w:rPr>
        <w:t>այնքի</w:t>
      </w:r>
      <w:proofErr w:type="spellEnd"/>
      <w:r w:rsidR="00E70D3A" w:rsidRPr="00683A30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954FAB">
        <w:rPr>
          <w:rFonts w:ascii="Arial Unicode" w:hAnsi="Arial Unicode" w:cs="Calibri"/>
          <w:sz w:val="28"/>
          <w:szCs w:val="28"/>
          <w:lang w:val="en-US"/>
        </w:rPr>
        <w:t>6</w:t>
      </w:r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նախագիծն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արդեն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իսկ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իրատեսական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է,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իսկ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954FAB">
        <w:rPr>
          <w:rFonts w:ascii="Arial Unicode" w:hAnsi="Arial Unicode" w:cs="Calibri"/>
          <w:sz w:val="28"/>
          <w:szCs w:val="28"/>
          <w:lang w:val="en-US"/>
        </w:rPr>
        <w:t>6</w:t>
      </w:r>
      <w:r w:rsidR="00B1321A">
        <w:rPr>
          <w:rFonts w:ascii="Arial Unicode" w:hAnsi="Arial Unicode" w:cs="Calibri"/>
          <w:sz w:val="28"/>
          <w:szCs w:val="28"/>
          <w:lang w:val="en-US"/>
        </w:rPr>
        <w:t>-202</w:t>
      </w:r>
      <w:r w:rsidR="00954FAB">
        <w:rPr>
          <w:rFonts w:ascii="Arial Unicode" w:hAnsi="Arial Unicode" w:cs="Calibri"/>
          <w:sz w:val="28"/>
          <w:szCs w:val="28"/>
          <w:lang w:val="en-US"/>
        </w:rPr>
        <w:t>8</w:t>
      </w:r>
      <w:bookmarkStart w:id="0" w:name="_GoBack"/>
      <w:bookmarkEnd w:id="0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թթ.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համար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նախագծում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ընդգրկված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են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վարչական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ծախսերը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և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ֆոնդային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մասի</w:t>
      </w:r>
      <w:proofErr w:type="spellEnd"/>
      <w:r w:rsidR="00CC02B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C02B0">
        <w:rPr>
          <w:rFonts w:ascii="Arial Unicode" w:hAnsi="Arial Unicode" w:cs="Calibri"/>
          <w:sz w:val="28"/>
          <w:szCs w:val="28"/>
          <w:lang w:val="en-US"/>
        </w:rPr>
        <w:t>սպասվելիք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սուբվենցիոն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ծրագրերի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համար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նախատեսված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ծախսերն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ըստ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ոլորտների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: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Կցվում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է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սուբվենցիոն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ծրագրերի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1321A">
        <w:rPr>
          <w:rFonts w:ascii="Arial Unicode" w:hAnsi="Arial Unicode" w:cs="Calibri"/>
          <w:sz w:val="28"/>
          <w:szCs w:val="28"/>
          <w:lang w:val="en-US"/>
        </w:rPr>
        <w:t>ցուցակը</w:t>
      </w:r>
      <w:proofErr w:type="spellEnd"/>
      <w:r w:rsidR="00B1321A">
        <w:rPr>
          <w:rFonts w:ascii="Arial Unicode" w:hAnsi="Arial Unicode" w:cs="Calibri"/>
          <w:sz w:val="28"/>
          <w:szCs w:val="28"/>
          <w:lang w:val="en-US"/>
        </w:rPr>
        <w:t>:</w:t>
      </w:r>
    </w:p>
    <w:p w:rsidR="002F4255" w:rsidRDefault="002F4255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</w:p>
    <w:p w:rsidR="002F4255" w:rsidRDefault="002F4255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</w:p>
    <w:p w:rsidR="002F4255" w:rsidRDefault="002F4255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</w:p>
    <w:p w:rsidR="002F4255" w:rsidRDefault="002F4255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</w:p>
    <w:p w:rsidR="002F4255" w:rsidRDefault="002F4255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</w:p>
    <w:p w:rsidR="002F4255" w:rsidRDefault="002F4255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</w:p>
    <w:p w:rsidR="002F4255" w:rsidRDefault="002F4255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</w:p>
    <w:p w:rsidR="002F4255" w:rsidRDefault="002F4255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</w:p>
    <w:p w:rsidR="002F4255" w:rsidRDefault="002F4255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</w:p>
    <w:p w:rsidR="002F4255" w:rsidRDefault="002F4255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</w:p>
    <w:p w:rsidR="002F4255" w:rsidRDefault="002F4255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</w:p>
    <w:p w:rsidR="002F4255" w:rsidRDefault="002F4255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</w:p>
    <w:p w:rsidR="00CC02B0" w:rsidRDefault="00CC02B0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en-US"/>
        </w:rPr>
      </w:pPr>
    </w:p>
    <w:p w:rsidR="002F4255" w:rsidRPr="00683A30" w:rsidRDefault="002F4255" w:rsidP="00C358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Armenian" w:hAnsi="Arial Armenian" w:cs="Calibri"/>
          <w:sz w:val="28"/>
          <w:szCs w:val="28"/>
          <w:lang w:val="en-US"/>
        </w:rPr>
      </w:pPr>
    </w:p>
    <w:tbl>
      <w:tblPr>
        <w:tblW w:w="8264" w:type="dxa"/>
        <w:tblInd w:w="113" w:type="dxa"/>
        <w:tblLook w:val="04A0" w:firstRow="1" w:lastRow="0" w:firstColumn="1" w:lastColumn="0" w:noHBand="0" w:noVBand="1"/>
      </w:tblPr>
      <w:tblGrid>
        <w:gridCol w:w="420"/>
        <w:gridCol w:w="3368"/>
        <w:gridCol w:w="2312"/>
        <w:gridCol w:w="2164"/>
      </w:tblGrid>
      <w:tr w:rsidR="009267A8" w:rsidRPr="00954FAB" w:rsidTr="00F05EB3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A8" w:rsidRPr="009267A8" w:rsidRDefault="009267A8" w:rsidP="0092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A8" w:rsidRPr="009267A8" w:rsidRDefault="009267A8" w:rsidP="0092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A8" w:rsidRPr="009267A8" w:rsidRDefault="009267A8" w:rsidP="0092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A8" w:rsidRPr="009267A8" w:rsidRDefault="009267A8" w:rsidP="0092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BD466D" w:rsidRPr="00954FAB" w:rsidTr="00F05EB3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66D" w:rsidRDefault="00BD466D" w:rsidP="0092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BD466D" w:rsidRPr="009267A8" w:rsidRDefault="00BD466D" w:rsidP="0092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66D" w:rsidRPr="009267A8" w:rsidRDefault="00BD466D" w:rsidP="0092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66D" w:rsidRPr="009267A8" w:rsidRDefault="00BD466D" w:rsidP="0092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66D" w:rsidRPr="009267A8" w:rsidRDefault="00BD466D" w:rsidP="0092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371"/>
        <w:tblW w:w="8220" w:type="dxa"/>
        <w:tblLook w:val="04A0" w:firstRow="1" w:lastRow="0" w:firstColumn="1" w:lastColumn="0" w:noHBand="0" w:noVBand="1"/>
      </w:tblPr>
      <w:tblGrid>
        <w:gridCol w:w="575"/>
        <w:gridCol w:w="3590"/>
        <w:gridCol w:w="1274"/>
        <w:gridCol w:w="1591"/>
        <w:gridCol w:w="1190"/>
      </w:tblGrid>
      <w:tr w:rsidR="00F05EB3" w:rsidRPr="00F05EB3" w:rsidTr="00F05EB3">
        <w:trPr>
          <w:trHeight w:val="683"/>
        </w:trPr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Սուբվենցիա 2025</w:t>
            </w:r>
          </w:p>
        </w:tc>
      </w:tr>
      <w:tr w:rsidR="00F05EB3" w:rsidRPr="00F05EB3" w:rsidTr="00F05EB3">
        <w:trPr>
          <w:trHeight w:val="398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ԳՈՒՄԱՐԸ</w:t>
            </w: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/</w:t>
            </w:r>
            <w:r w:rsidRPr="00F05EB3">
              <w:rPr>
                <w:rFonts w:ascii="Calibri" w:eastAsia="Times New Roman" w:hAnsi="Calibri" w:cs="Calibri"/>
                <w:color w:val="000000"/>
                <w:lang w:eastAsia="ru-RU"/>
              </w:rPr>
              <w:t>մլն.դրամ</w:t>
            </w: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որից</w:t>
            </w:r>
          </w:p>
        </w:tc>
      </w:tr>
      <w:tr w:rsidR="00F05EB3" w:rsidRPr="00F05EB3" w:rsidTr="00F05EB3">
        <w:trPr>
          <w:trHeight w:val="518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ՊԵՏՈՒԹՅՈՒՆ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ՀԱՄԱՅՆՔ</w:t>
            </w:r>
          </w:p>
        </w:tc>
      </w:tr>
      <w:tr w:rsidR="00F05EB3" w:rsidRPr="00F05EB3" w:rsidTr="00F05EB3">
        <w:trPr>
          <w:trHeight w:val="21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Նոյեմբերյան խոշորացված համայնքի Կողբ ,Նոյեմբերյան,Ոսկեվան ,Ոսկեպար,Բաղանիս ,Դովեղ </w:t>
            </w:r>
            <w:r w:rsidRPr="00F05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և </w:t>
            </w: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Զորական բնակավայրերի փողոցների սալապատում տուֆով 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62,5</w:t>
            </w:r>
          </w:p>
        </w:tc>
      </w:tr>
      <w:tr w:rsidR="00F05EB3" w:rsidRPr="00F05EB3" w:rsidTr="00F05EB3">
        <w:trPr>
          <w:trHeight w:val="19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Նոյեմբերյան խոշորացված համայնքի Նոյեմբերյան ,Կողբ ,Ոսկեպար ,Պտղավան, Բագրատաշեն </w:t>
            </w:r>
            <w:r w:rsidRPr="00F05EB3">
              <w:rPr>
                <w:rFonts w:ascii="Calibri" w:eastAsia="Times New Roman" w:hAnsi="Calibri" w:cs="Calibri"/>
                <w:color w:val="000000"/>
                <w:lang w:eastAsia="ru-RU"/>
              </w:rPr>
              <w:t>և</w:t>
            </w: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Բերդավան բնակավայրերի փողոցների ասֆալտապատում 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236,5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193,5</w:t>
            </w:r>
          </w:p>
        </w:tc>
      </w:tr>
      <w:tr w:rsidR="00F05EB3" w:rsidRPr="00F05EB3" w:rsidTr="00F05EB3">
        <w:trPr>
          <w:trHeight w:val="21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Նոյեմբերյան խոշորացված համայնքի Նոյեմբերյան քաղաքի թիվ 1 </w:t>
            </w:r>
            <w:r w:rsidRPr="00F05EB3">
              <w:rPr>
                <w:rFonts w:ascii="Calibri" w:eastAsia="Times New Roman" w:hAnsi="Calibri" w:cs="Calibri"/>
                <w:color w:val="000000"/>
                <w:lang w:eastAsia="ru-RU"/>
              </w:rPr>
              <w:t>և</w:t>
            </w: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Կողբի թիվ 1 մանկապարտեզների նոր շենքերի կառուցում</w:t>
            </w:r>
            <w:r w:rsidRPr="00F05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և </w:t>
            </w: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Նոյեմբերյանի թիվ 2 մանկապարտեզի բակի բարեկարգում: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F05EB3" w:rsidRPr="00F05EB3" w:rsidTr="00F05EB3">
        <w:trPr>
          <w:trHeight w:val="15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Տավուշի մարզի Արճիս</w:t>
            </w:r>
            <w:r w:rsidRPr="00F05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և</w:t>
            </w: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Բերդավան գյուղերի  ոռոգման համակարգի արդիականացում 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45,0</w:t>
            </w:r>
          </w:p>
        </w:tc>
      </w:tr>
      <w:tr w:rsidR="00F05EB3" w:rsidRPr="00F05EB3" w:rsidTr="00F05EB3">
        <w:trPr>
          <w:trHeight w:val="758"/>
        </w:trPr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ԸՆԴԱՄԵՆԸ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1860,0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1359,0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B3" w:rsidRPr="00F05EB3" w:rsidRDefault="00F05EB3" w:rsidP="00F0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5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501,0</w:t>
            </w:r>
          </w:p>
        </w:tc>
      </w:tr>
    </w:tbl>
    <w:p w:rsidR="00F05EB3" w:rsidRPr="00145CF2" w:rsidRDefault="00774C5B" w:rsidP="00CC02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Armenian" w:hAnsi="Arial Armenian" w:cs="Calibri"/>
          <w:sz w:val="28"/>
          <w:szCs w:val="28"/>
          <w:lang w:val="en-US"/>
        </w:rPr>
      </w:pPr>
      <w:r w:rsidRPr="00683A30">
        <w:rPr>
          <w:rFonts w:ascii="Arial Armenian" w:hAnsi="Arial Armenian" w:cs="Calibri"/>
          <w:sz w:val="28"/>
          <w:szCs w:val="28"/>
          <w:lang w:val="en-US"/>
        </w:rPr>
        <w:t>      </w:t>
      </w:r>
      <w:r w:rsidRPr="00CC02B0">
        <w:rPr>
          <w:rFonts w:ascii="Arial Unicode" w:hAnsi="Arial Unicode" w:cs="Calibri"/>
          <w:sz w:val="28"/>
          <w:szCs w:val="28"/>
          <w:lang w:val="en-US"/>
        </w:rPr>
        <w:br/>
      </w:r>
      <w:r w:rsidRPr="00CC02B0">
        <w:rPr>
          <w:rFonts w:ascii="Arial Unicode" w:hAnsi="Arial Unicode" w:cs="Calibri"/>
          <w:sz w:val="28"/>
          <w:szCs w:val="28"/>
          <w:lang w:val="en-US"/>
        </w:rPr>
        <w:br/>
      </w:r>
    </w:p>
    <w:p w:rsidR="00774C5B" w:rsidRPr="00145CF2" w:rsidRDefault="00774C5B" w:rsidP="00CC02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Armenian" w:hAnsi="Arial Armenian" w:cs="Calibri"/>
          <w:sz w:val="28"/>
          <w:szCs w:val="28"/>
          <w:lang w:val="en-US"/>
        </w:rPr>
      </w:pPr>
    </w:p>
    <w:p w:rsidR="005274DC" w:rsidRPr="00145CF2" w:rsidRDefault="005274DC" w:rsidP="00C3584D">
      <w:pPr>
        <w:rPr>
          <w:rFonts w:ascii="Arial Armenian" w:eastAsia="Times New Roman" w:hAnsi="Arial Armenian" w:cs="Calibri"/>
          <w:sz w:val="28"/>
          <w:szCs w:val="28"/>
          <w:lang w:val="en-US" w:eastAsia="ru-RU"/>
        </w:rPr>
      </w:pPr>
    </w:p>
    <w:sectPr w:rsidR="005274DC" w:rsidRPr="00145CF2" w:rsidSect="00C358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902"/>
    <w:rsid w:val="0001775E"/>
    <w:rsid w:val="000432D3"/>
    <w:rsid w:val="000B547D"/>
    <w:rsid w:val="000F69FD"/>
    <w:rsid w:val="00144413"/>
    <w:rsid w:val="00145CF2"/>
    <w:rsid w:val="00183AD4"/>
    <w:rsid w:val="001B2B18"/>
    <w:rsid w:val="001C1C8B"/>
    <w:rsid w:val="001D2AE3"/>
    <w:rsid w:val="001D3FB8"/>
    <w:rsid w:val="001D4CF7"/>
    <w:rsid w:val="001E1A98"/>
    <w:rsid w:val="001E2E4B"/>
    <w:rsid w:val="002051F1"/>
    <w:rsid w:val="00215D66"/>
    <w:rsid w:val="002438F0"/>
    <w:rsid w:val="00250050"/>
    <w:rsid w:val="002B0A29"/>
    <w:rsid w:val="002D028B"/>
    <w:rsid w:val="002D29E1"/>
    <w:rsid w:val="002F4255"/>
    <w:rsid w:val="00306248"/>
    <w:rsid w:val="00314339"/>
    <w:rsid w:val="00322902"/>
    <w:rsid w:val="00326E4C"/>
    <w:rsid w:val="003618B0"/>
    <w:rsid w:val="003A0143"/>
    <w:rsid w:val="003B1665"/>
    <w:rsid w:val="003B3A11"/>
    <w:rsid w:val="003C358A"/>
    <w:rsid w:val="003C7720"/>
    <w:rsid w:val="003E7EE9"/>
    <w:rsid w:val="003F54CB"/>
    <w:rsid w:val="00402578"/>
    <w:rsid w:val="004334EB"/>
    <w:rsid w:val="00447848"/>
    <w:rsid w:val="0045560B"/>
    <w:rsid w:val="004710B4"/>
    <w:rsid w:val="00471302"/>
    <w:rsid w:val="0048249E"/>
    <w:rsid w:val="0049460F"/>
    <w:rsid w:val="004B0869"/>
    <w:rsid w:val="004B61D0"/>
    <w:rsid w:val="004F321C"/>
    <w:rsid w:val="0052276B"/>
    <w:rsid w:val="005274DC"/>
    <w:rsid w:val="00557482"/>
    <w:rsid w:val="00564B00"/>
    <w:rsid w:val="00583925"/>
    <w:rsid w:val="005925C1"/>
    <w:rsid w:val="00595FEC"/>
    <w:rsid w:val="005B7D1B"/>
    <w:rsid w:val="005E5402"/>
    <w:rsid w:val="005F32B5"/>
    <w:rsid w:val="00637E90"/>
    <w:rsid w:val="00653378"/>
    <w:rsid w:val="00681809"/>
    <w:rsid w:val="00683A30"/>
    <w:rsid w:val="006A3ED9"/>
    <w:rsid w:val="00741D51"/>
    <w:rsid w:val="00762E64"/>
    <w:rsid w:val="00765AC7"/>
    <w:rsid w:val="00766791"/>
    <w:rsid w:val="00774C5B"/>
    <w:rsid w:val="007920B6"/>
    <w:rsid w:val="007D2F62"/>
    <w:rsid w:val="008278D4"/>
    <w:rsid w:val="008555FF"/>
    <w:rsid w:val="00880E2D"/>
    <w:rsid w:val="00895F1C"/>
    <w:rsid w:val="00904303"/>
    <w:rsid w:val="0092168D"/>
    <w:rsid w:val="009249CB"/>
    <w:rsid w:val="009267A8"/>
    <w:rsid w:val="00947AA6"/>
    <w:rsid w:val="00954FAB"/>
    <w:rsid w:val="00956C43"/>
    <w:rsid w:val="00987FB0"/>
    <w:rsid w:val="009A4AC2"/>
    <w:rsid w:val="009E0364"/>
    <w:rsid w:val="009E33B7"/>
    <w:rsid w:val="009E7918"/>
    <w:rsid w:val="00A075C7"/>
    <w:rsid w:val="00A34184"/>
    <w:rsid w:val="00A75EF1"/>
    <w:rsid w:val="00A872AB"/>
    <w:rsid w:val="00A93E5A"/>
    <w:rsid w:val="00AA6EA6"/>
    <w:rsid w:val="00B05A5E"/>
    <w:rsid w:val="00B1321A"/>
    <w:rsid w:val="00B15E7A"/>
    <w:rsid w:val="00B2333C"/>
    <w:rsid w:val="00B2686A"/>
    <w:rsid w:val="00B4722D"/>
    <w:rsid w:val="00BD466D"/>
    <w:rsid w:val="00BD4887"/>
    <w:rsid w:val="00BF0D7C"/>
    <w:rsid w:val="00C11314"/>
    <w:rsid w:val="00C225F1"/>
    <w:rsid w:val="00C3584D"/>
    <w:rsid w:val="00C40C86"/>
    <w:rsid w:val="00C60FE8"/>
    <w:rsid w:val="00C7561E"/>
    <w:rsid w:val="00CA003D"/>
    <w:rsid w:val="00CA3C0D"/>
    <w:rsid w:val="00CA57E0"/>
    <w:rsid w:val="00CC02B0"/>
    <w:rsid w:val="00CF6B90"/>
    <w:rsid w:val="00D054CD"/>
    <w:rsid w:val="00D379ED"/>
    <w:rsid w:val="00D532A0"/>
    <w:rsid w:val="00D90615"/>
    <w:rsid w:val="00DA6246"/>
    <w:rsid w:val="00DD7CDD"/>
    <w:rsid w:val="00E03D4C"/>
    <w:rsid w:val="00E26C60"/>
    <w:rsid w:val="00E46C12"/>
    <w:rsid w:val="00E64E39"/>
    <w:rsid w:val="00E70D3A"/>
    <w:rsid w:val="00E846B2"/>
    <w:rsid w:val="00E862B0"/>
    <w:rsid w:val="00ED220E"/>
    <w:rsid w:val="00F0118A"/>
    <w:rsid w:val="00F04C75"/>
    <w:rsid w:val="00F05EB3"/>
    <w:rsid w:val="00F10A78"/>
    <w:rsid w:val="00F161ED"/>
    <w:rsid w:val="00F478E1"/>
    <w:rsid w:val="00FA42C9"/>
    <w:rsid w:val="00FA5138"/>
    <w:rsid w:val="00FD25B8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8E55"/>
  <w15:docId w15:val="{EA113938-5327-4C86-AD0A-531FC9C3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74C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86</cp:revision>
  <cp:lastPrinted>2024-06-14T12:24:00Z</cp:lastPrinted>
  <dcterms:created xsi:type="dcterms:W3CDTF">2022-04-16T11:46:00Z</dcterms:created>
  <dcterms:modified xsi:type="dcterms:W3CDTF">2025-07-10T05:40:00Z</dcterms:modified>
</cp:coreProperties>
</file>